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5F4732" w:rsidRPr="004270AC" w:rsidTr="00614997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4732" w:rsidRPr="004270AC" w:rsidRDefault="005F4732" w:rsidP="00614997">
            <w:pPr>
              <w:spacing w:after="0"/>
              <w:jc w:val="center"/>
              <w:rPr>
                <w:rStyle w:val="a3"/>
                <w:color w:val="auto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"garantF1://32244548.0" </w:instrText>
            </w:r>
            <w:r>
              <w:fldChar w:fldCharType="separate"/>
            </w:r>
            <w:r w:rsidRPr="004270AC"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t>.</w:t>
            </w:r>
            <w:r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  <w:fldChar w:fldCharType="end"/>
            </w:r>
          </w:p>
          <w:p w:rsidR="005F4732" w:rsidRPr="004270AC" w:rsidRDefault="00C443F3" w:rsidP="00614997">
            <w:pPr>
              <w:spacing w:after="0"/>
              <w:jc w:val="center"/>
              <w:rPr>
                <w:rStyle w:val="a4"/>
                <w:b/>
                <w:caps/>
                <w:color w:val="auto"/>
                <w:sz w:val="4"/>
                <w:u w:val="none"/>
              </w:rPr>
            </w:pPr>
            <w:hyperlink r:id="rId7" w:history="1"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РЕСПУБЛИКА АДЫГЕЯ</w:t>
              </w:r>
            </w:hyperlink>
          </w:p>
          <w:p w:rsidR="005F4732" w:rsidRPr="004270AC" w:rsidRDefault="00C443F3" w:rsidP="0061499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</w:rPr>
            </w:pPr>
            <w:hyperlink r:id="rId8" w:history="1"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АДМИНИСТРАЦИЯ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</w:rPr>
                <w:t xml:space="preserve">Муниципального образования 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u w:val="none"/>
                </w:rPr>
                <w:t>«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732" w:rsidRPr="004270AC" w:rsidRDefault="005F4732" w:rsidP="00614997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olor w:val="auto"/>
                <w:u w:val="none"/>
              </w:rPr>
            </w:pPr>
            <w:r w:rsidRPr="004270A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0C3D9A" wp14:editId="78A41309">
                  <wp:extent cx="847725" cy="819150"/>
                  <wp:effectExtent l="0" t="0" r="9525" b="0"/>
                  <wp:docPr id="1" name="Рисунок 1" descr="Описание: Описание: Adygeya_-_Coat_of_Arm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732" w:rsidRPr="004270AC" w:rsidRDefault="00C443F3" w:rsidP="00614997">
            <w:pPr>
              <w:spacing w:after="0"/>
              <w:jc w:val="center"/>
              <w:rPr>
                <w:rStyle w:val="a4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11" w:history="1"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АДЫГЭ РЕСПУБЛИК</w:t>
              </w:r>
            </w:hyperlink>
          </w:p>
          <w:p w:rsidR="005F4732" w:rsidRPr="004270AC" w:rsidRDefault="00C443F3" w:rsidP="0061499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4"/>
                <w:u w:val="none"/>
              </w:rPr>
            </w:pPr>
            <w:hyperlink r:id="rId12" w:history="1"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МУНИЦИПАЛЬНЭ ГЪЭПСЫК</w:t>
              </w:r>
              <w:proofErr w:type="gramStart"/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 ЗИ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Э</w:t>
              </w:r>
            </w:hyperlink>
          </w:p>
          <w:p w:rsidR="005F4732" w:rsidRPr="004270AC" w:rsidRDefault="00C443F3" w:rsidP="0061499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13" w:history="1"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«КОЩХЬАБЛЭ КЪОДЖЭ ПСЭУП</w:t>
              </w:r>
              <w:proofErr w:type="gramStart"/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/>
                </w:rPr>
                <w:t>I</w:t>
              </w:r>
              <w:proofErr w:type="gramEnd"/>
              <w:r w:rsidR="005F4732" w:rsidRPr="004270AC">
                <w:rPr>
                  <w:rStyle w:val="a4"/>
                  <w:rFonts w:ascii="Times New Roman" w:hAnsi="Times New Roman" w:cs="Times New Roman"/>
                  <w:b/>
                  <w:color w:val="auto"/>
                  <w:sz w:val="20"/>
                  <w:u w:val="none"/>
                </w:rPr>
                <w:t>»</w:t>
              </w:r>
            </w:hyperlink>
          </w:p>
        </w:tc>
      </w:tr>
    </w:tbl>
    <w:p w:rsidR="005F4732" w:rsidRPr="004270AC" w:rsidRDefault="00C443F3" w:rsidP="005F4732">
      <w:pPr>
        <w:spacing w:after="0"/>
        <w:ind w:left="-567"/>
        <w:jc w:val="center"/>
        <w:rPr>
          <w:rStyle w:val="a4"/>
          <w:b/>
          <w:color w:val="auto"/>
          <w:sz w:val="27"/>
          <w:szCs w:val="27"/>
          <w:u w:val="none"/>
        </w:rPr>
      </w:pPr>
      <w:hyperlink r:id="rId14" w:history="1"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5F4732" w:rsidRPr="004270AC" w:rsidRDefault="00C443F3" w:rsidP="005F4732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5" w:history="1"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5F4732" w:rsidRPr="004270AC" w:rsidRDefault="00C443F3" w:rsidP="005F4732">
      <w:pPr>
        <w:spacing w:after="0"/>
        <w:ind w:left="-567"/>
        <w:jc w:val="center"/>
        <w:rPr>
          <w:rFonts w:ascii="Times New Roman" w:hAnsi="Times New Roman" w:cs="Times New Roman"/>
          <w:b/>
          <w:sz w:val="27"/>
          <w:szCs w:val="27"/>
        </w:rPr>
      </w:pPr>
      <w:hyperlink r:id="rId16" w:history="1"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5F4732" w:rsidRPr="004270AC" w:rsidRDefault="005F4732" w:rsidP="005F4732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5F4732" w:rsidRDefault="00C443F3" w:rsidP="005F4732">
      <w:pPr>
        <w:spacing w:after="0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7" w:history="1">
        <w:r w:rsidR="0062047B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«20</w:t>
        </w:r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» </w:t>
        </w:r>
        <w:r w:rsidR="0062047B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марта </w:t>
        </w:r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2014г.     </w:t>
        </w:r>
        <w:r w:rsidR="005F4732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</w:t>
        </w:r>
        <w:r w:rsidR="0062047B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</w:t>
        </w:r>
        <w:r w:rsidR="005F4732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№ </w:t>
        </w:r>
        <w:r w:rsidR="0062047B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11</w:t>
        </w:r>
        <w:r w:rsidR="005F4732" w:rsidRPr="004270AC">
          <w:rPr>
            <w:rStyle w:val="a4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 xml:space="preserve">                                        а. Кошехабль</w:t>
        </w:r>
      </w:hyperlink>
    </w:p>
    <w:p w:rsidR="005F4732" w:rsidRDefault="005F4732" w:rsidP="005F4732">
      <w:pPr>
        <w:spacing w:after="0"/>
        <w:ind w:left="-567"/>
        <w:jc w:val="both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744664" w:rsidRDefault="00744664" w:rsidP="005F4732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Об утверждении Положения «Об условиях оплаты труда и материальном стимулировании работника, осуществляющего первичный воинский учет на территории муниципального образования «Кошехабльское сельское поселение» муниципального образования «Кошехабльский район». </w:t>
      </w:r>
    </w:p>
    <w:p w:rsidR="00744664" w:rsidRDefault="00744664" w:rsidP="005F4732">
      <w:pPr>
        <w:spacing w:after="0"/>
        <w:ind w:left="-567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2B3E6A" w:rsidRDefault="00744664" w:rsidP="00744664">
      <w:pPr>
        <w:spacing w:after="0"/>
        <w:ind w:left="-567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Руководствуясь ч.2 ст. 53 Федерального закона от 03.10.2003г. № 131-ФЗ «Об общих принципах организации местного самоуправления в Российской Федерации», ч.1 ст. 8, ст.135 Трудового кодекса Российской Федерации, в целях совершенствования системы оплаты труда работника, осуществляющего полномочия </w:t>
      </w: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по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первичному воинскому учету ВУС администрации </w:t>
      </w:r>
      <w:r w:rsidR="002B3E6A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МО «Кошехабльское сельское поселение, повышения результативности его деятельности</w:t>
      </w:r>
    </w:p>
    <w:p w:rsidR="005F4732" w:rsidRDefault="002B3E6A" w:rsidP="002B3E6A">
      <w:pPr>
        <w:spacing w:after="0"/>
        <w:ind w:left="-567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Постановляю: </w:t>
      </w:r>
    </w:p>
    <w:p w:rsidR="002B3E6A" w:rsidRDefault="002B3E6A" w:rsidP="002B3E6A">
      <w:pPr>
        <w:pStyle w:val="a7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2B3E6A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Утвердить Положение об </w:t>
      </w:r>
      <w:r w:rsidR="004650B1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условиях </w:t>
      </w:r>
      <w:r w:rsidRPr="002B3E6A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оплат</w:t>
      </w:r>
      <w:r w:rsidR="004650B1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ы</w:t>
      </w:r>
      <w:r w:rsidRPr="002B3E6A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труда и материальном стимулировании работника, осуществляющего первичный воинский учет на территории МО «Кошехабльское сельское поселение» (Приложение № 1). </w:t>
      </w:r>
    </w:p>
    <w:p w:rsidR="002B3E6A" w:rsidRDefault="002B3E6A" w:rsidP="002B3E6A">
      <w:pPr>
        <w:pStyle w:val="a7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Обнародовать настоящее Постановление путем размещения его на информационном стенде в администрации Кошехабльского сельского поселения и на официальном сайте администрации МО «Кошехабльское сельское поселение»</w:t>
      </w:r>
    </w:p>
    <w:p w:rsidR="002B3E6A" w:rsidRDefault="002B3E6A" w:rsidP="002B3E6A">
      <w:pPr>
        <w:pStyle w:val="a7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Настоящее Постановление вступает в силу со дня его обнародования и распространяется на </w:t>
      </w: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правоотношения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возникшие с 1 января 2014 года. </w:t>
      </w: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Глава администрации </w:t>
      </w:r>
    </w:p>
    <w:p w:rsidR="002B3E6A" w:rsidRDefault="002B3E6A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МО «Кошехабльское сельское поселение»                               Х.Г. Борсов </w:t>
      </w:r>
      <w:r w:rsidRPr="002B3E6A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4650B1" w:rsidRDefault="004650B1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4650B1" w:rsidRDefault="004650B1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4650B1" w:rsidRDefault="004650B1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4650B1" w:rsidRDefault="004650B1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4650B1" w:rsidRDefault="004650B1" w:rsidP="002B3E6A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Приложение № 1 </w:t>
      </w: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к Постановлению главы</w:t>
      </w: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муниципального образования </w:t>
      </w: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«Кошехабльское сельское поселение»</w:t>
      </w:r>
    </w:p>
    <w:p w:rsidR="004650B1" w:rsidRPr="004B2E1C" w:rsidRDefault="004B2E1C" w:rsidP="004650B1">
      <w:pPr>
        <w:spacing w:after="0"/>
        <w:jc w:val="right"/>
        <w:rPr>
          <w:rStyle w:val="a4"/>
          <w:rFonts w:ascii="Times New Roman" w:hAnsi="Times New Roman" w:cs="Times New Roman"/>
          <w:b/>
          <w:color w:val="auto"/>
        </w:rPr>
      </w:pPr>
      <w:r w:rsidRPr="004B2E1C">
        <w:rPr>
          <w:rStyle w:val="a4"/>
          <w:rFonts w:ascii="Times New Roman" w:hAnsi="Times New Roman" w:cs="Times New Roman"/>
          <w:b/>
          <w:color w:val="auto"/>
        </w:rPr>
        <w:t>от «20</w:t>
      </w:r>
      <w:r w:rsidR="004650B1" w:rsidRPr="004B2E1C">
        <w:rPr>
          <w:rStyle w:val="a4"/>
          <w:rFonts w:ascii="Times New Roman" w:hAnsi="Times New Roman" w:cs="Times New Roman"/>
          <w:b/>
          <w:color w:val="auto"/>
        </w:rPr>
        <w:t>»</w:t>
      </w:r>
      <w:r w:rsidRPr="004B2E1C">
        <w:rPr>
          <w:rStyle w:val="a4"/>
          <w:rFonts w:ascii="Times New Roman" w:hAnsi="Times New Roman" w:cs="Times New Roman"/>
          <w:b/>
          <w:color w:val="auto"/>
        </w:rPr>
        <w:t xml:space="preserve"> марта </w:t>
      </w:r>
      <w:r w:rsidR="004650B1" w:rsidRPr="004B2E1C">
        <w:rPr>
          <w:rStyle w:val="a4"/>
          <w:rFonts w:ascii="Times New Roman" w:hAnsi="Times New Roman" w:cs="Times New Roman"/>
          <w:b/>
          <w:color w:val="auto"/>
        </w:rPr>
        <w:t xml:space="preserve">2014г. № </w:t>
      </w:r>
      <w:r w:rsidRPr="004B2E1C">
        <w:rPr>
          <w:rStyle w:val="a4"/>
          <w:rFonts w:ascii="Times New Roman" w:hAnsi="Times New Roman" w:cs="Times New Roman"/>
          <w:b/>
          <w:color w:val="auto"/>
        </w:rPr>
        <w:t>11</w:t>
      </w: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</w:p>
    <w:p w:rsidR="004650B1" w:rsidRDefault="004650B1" w:rsidP="004650B1">
      <w:pPr>
        <w:spacing w:after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</w:p>
    <w:p w:rsidR="004650B1" w:rsidRPr="004650B1" w:rsidRDefault="004650B1" w:rsidP="004650B1">
      <w:pPr>
        <w:spacing w:after="0"/>
        <w:jc w:val="center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4650B1">
        <w:rPr>
          <w:rStyle w:val="a4"/>
          <w:rFonts w:ascii="Times New Roman" w:hAnsi="Times New Roman" w:cs="Times New Roman"/>
          <w:b/>
          <w:color w:val="auto"/>
          <w:u w:val="none"/>
        </w:rPr>
        <w:t>ПОЛОЖЕНИЕ</w:t>
      </w:r>
    </w:p>
    <w:p w:rsidR="004650B1" w:rsidRDefault="004650B1" w:rsidP="004650B1">
      <w:pPr>
        <w:spacing w:after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 w:rsidRPr="004650B1"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об условиях оплаты труда и материальном стимулировании работника, осуществляющего первичный воинский учет на территории МО «Кошехабльское сельское поселение»</w:t>
      </w:r>
    </w:p>
    <w:p w:rsidR="004650B1" w:rsidRDefault="004650B1" w:rsidP="004650B1">
      <w:pPr>
        <w:spacing w:after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4650B1" w:rsidRDefault="004650B1" w:rsidP="004650B1">
      <w:pPr>
        <w:pStyle w:val="a7"/>
        <w:numPr>
          <w:ilvl w:val="0"/>
          <w:numId w:val="2"/>
        </w:numPr>
        <w:spacing w:after="0"/>
        <w:jc w:val="center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Общие положения </w:t>
      </w:r>
    </w:p>
    <w:p w:rsidR="004650B1" w:rsidRDefault="00047449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Положение об оплате труда и материальном стимулировании работника, осуществляющего первичный воинский учет на территории МО «Кошехабльское сельское поселение» (далее - Положение) разработано в соответствии с Федеральным законом от 06.10.2003г. № 131-ФЗ «Об общих принципах организации местного самоуправления в Российской Федерации», Трудовым кодексом Российской Федерации, в целях упорядочения оплаты труда, обеспечение социальных гарантий и усиления материальной заинтересованности работника, осуществляющего первичный воинский учет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на территории МО «Кошехабльское сельское поселение». </w:t>
      </w:r>
    </w:p>
    <w:p w:rsidR="00047449" w:rsidRDefault="00047449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Настоящее Положение устанавливает порядок оплаты труда и материального стимулирования работника, осуществляющего первичный воинский учет на территории МО «Кошехабльское сельское поселение» и направлено на стимулирование достижения наиболее высоких результатов в сфере профессиональной деятельности. </w:t>
      </w:r>
    </w:p>
    <w:p w:rsidR="00F7629F" w:rsidRDefault="00F7629F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Формирование фонда оплаты труда работника, осуществляющего первичный воинский учет на территории МО «Кошехабльское сельское поселение» производится исходя из действующего штатного расписания. </w:t>
      </w:r>
    </w:p>
    <w:p w:rsidR="00F7629F" w:rsidRDefault="00F7629F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Финансирование осуществляется за счет субвенций, выделенных из Федерального бюджета бюджету МО «Кошехабльское сельское поселение» на осуществление полномочий по первичному воинскому учету на территориях, где отсутствуют военные комиссариаты. </w:t>
      </w:r>
    </w:p>
    <w:p w:rsidR="00F7629F" w:rsidRDefault="00F7629F" w:rsidP="005506D2">
      <w:pPr>
        <w:pStyle w:val="a7"/>
        <w:numPr>
          <w:ilvl w:val="0"/>
          <w:numId w:val="2"/>
        </w:numPr>
        <w:spacing w:after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Основные условия оплаты</w:t>
      </w:r>
    </w:p>
    <w:p w:rsidR="000313AF" w:rsidRDefault="000313AF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Органы местного самоуправления Кошехабльского сельского поселения Кошехабльского района самостоятельно определяют размер и условия оплаты труда работника в соответствии с действующим законодательством. </w:t>
      </w:r>
    </w:p>
    <w:p w:rsidR="005F60F2" w:rsidRDefault="000313AF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lastRenderedPageBreak/>
        <w:t>В состав оплаты труда и материаль</w:t>
      </w:r>
      <w:r w:rsidR="005F60F2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ного стимулирования включаются:</w:t>
      </w:r>
    </w:p>
    <w:p w:rsidR="005F60F2" w:rsidRDefault="005F60F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А) должностной оклад;</w:t>
      </w:r>
    </w:p>
    <w:p w:rsidR="005F60F2" w:rsidRDefault="005F60F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б) надбавка за сложность и напряженность;</w:t>
      </w:r>
    </w:p>
    <w:p w:rsidR="005F60F2" w:rsidRDefault="005F60F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в) премия по результатам работы за месяц.  </w:t>
      </w:r>
    </w:p>
    <w:p w:rsidR="005F60F2" w:rsidRDefault="005F60F2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F60F2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Размер должностного оклада работника, осуществляющего первичный воинский учет на территории МО «Кошехабльское сельское поселение» устанавливается в соответствии с приложением № 1 к настоящему Положению. </w:t>
      </w:r>
    </w:p>
    <w:p w:rsidR="005F60F2" w:rsidRDefault="005F60F2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Размеры должностных окладов работника, осуществляющего первичный воинский учет на территории МО «Кошехабльское сельское поселение» могут увеличиваться (индексироваться) в пределах ЛБО, выделенных из Федерального бюджета. При увеличении (индексации) должностных окладов их размеры подлежат округлению до целого рубля в сторону увеличения. </w:t>
      </w:r>
    </w:p>
    <w:p w:rsidR="005F60F2" w:rsidRDefault="005F60F2" w:rsidP="005506D2">
      <w:pPr>
        <w:pStyle w:val="a7"/>
        <w:numPr>
          <w:ilvl w:val="0"/>
          <w:numId w:val="2"/>
        </w:numPr>
        <w:spacing w:after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Порядок установления стимулирующих выплат.</w:t>
      </w:r>
    </w:p>
    <w:p w:rsidR="005506D2" w:rsidRDefault="005506D2" w:rsidP="005506D2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Надбавка за сложность и напряженность труда устанавливается и выплачивается ежемесячно в размере до 100% должностного оклада. </w:t>
      </w:r>
    </w:p>
    <w:p w:rsidR="005506D2" w:rsidRDefault="005506D2" w:rsidP="002E3038">
      <w:pPr>
        <w:pStyle w:val="a7"/>
        <w:numPr>
          <w:ilvl w:val="2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Основанием для выплаты надбавки за сложность и напряженность является распоряжение главы администрации МО «Кошехабльское сельское поселение» с учетом следующих критериев: </w:t>
      </w:r>
    </w:p>
    <w:p w:rsidR="005506D2" w:rsidRDefault="005506D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- деловая квалификация (компетентность в решении вопросов, выбор наиболее оптимального пути в организации работы (в решении вопроса); умение составлять деловые документы;</w:t>
      </w:r>
    </w:p>
    <w:p w:rsidR="005506D2" w:rsidRDefault="005506D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- личный вклад в общие результаты работы (проявление творчества, инициативы, соблюдение исполнительной дисциплины, ответственное отношение к порученному делу; выполнение правил внутреннего трудового распорядка; выполнение работы с минимально возможной затратой ресурсов);</w:t>
      </w:r>
    </w:p>
    <w:p w:rsidR="005506D2" w:rsidRDefault="005506D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- выполнение особо важной работы (особо важная работа выполняется по поручению главы Кошехбльского сельского поселения или его заместителя, которая непосредственно связанна с осуществлением комплекса мероприятий сельского, районного или республиканского значения); </w:t>
      </w:r>
    </w:p>
    <w:p w:rsidR="002E3038" w:rsidRDefault="005506D2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- </w:t>
      </w:r>
      <w:r w:rsidR="002E3038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напряженность (выполнение дополнительных обязанностей работником, не предусмотренных должностной инструкцией); </w:t>
      </w:r>
    </w:p>
    <w:p w:rsidR="000F5232" w:rsidRDefault="002E3038" w:rsidP="005506D2">
      <w:pPr>
        <w:pStyle w:val="a7"/>
        <w:spacing w:after="0"/>
        <w:ind w:left="84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Специальный режим работы (выполнение работ сверх установленной продолжительности рабочего времени, утвержденного правилами внутреннего трудового распорядка, привлечение работников для осуществления мероприятий в целях предотвращения чрезвычайных </w:t>
      </w: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lastRenderedPageBreak/>
        <w:t>ситуаций (дежурства в праздничные дни, в период заморозок, в пожарный период и т.д.).</w:t>
      </w:r>
      <w:proofErr w:type="gramEnd"/>
    </w:p>
    <w:p w:rsidR="002B4D12" w:rsidRDefault="002B4D12" w:rsidP="002B4D12">
      <w:pPr>
        <w:pStyle w:val="a7"/>
        <w:numPr>
          <w:ilvl w:val="2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Глава администрации МО «Кошехабльское сельское поселение» имеет право: </w:t>
      </w:r>
    </w:p>
    <w:p w:rsidR="002B4D12" w:rsidRDefault="002B4D12" w:rsidP="002B4D12">
      <w:pPr>
        <w:pStyle w:val="a7"/>
        <w:spacing w:after="0"/>
        <w:ind w:left="108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а) понизить размер надбавки за сложность и напряженность труда работнику в случае частичного невыполнения указанных условий, составляющих сложность и напряженность труда; </w:t>
      </w:r>
    </w:p>
    <w:p w:rsidR="00373986" w:rsidRDefault="002B4D12" w:rsidP="002B4D12">
      <w:pPr>
        <w:pStyle w:val="a7"/>
        <w:spacing w:after="0"/>
        <w:ind w:left="108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б) лишить работника надбавки за сложность и напряженность труда в случае грубого и (или) неоднократного и (или) полного невыполнения указанных условий, составляющих сложность и напряженность труда. </w:t>
      </w:r>
    </w:p>
    <w:p w:rsidR="00452AB0" w:rsidRDefault="00452AB0" w:rsidP="00452AB0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452AB0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Ежемесячная премия работникам, осуществляющим первичный воинский учет на территории МО «Кошехабльское сельское поселение» выплачивается в размере 25% от должностного оклада.</w:t>
      </w: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452AB0" w:rsidRDefault="00452AB0" w:rsidP="00452AB0">
      <w:pPr>
        <w:pStyle w:val="a7"/>
        <w:numPr>
          <w:ilvl w:val="2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Ежемесячная премия выплачивается при выполнении следующих условий: своевременное исполнение должностных обязанностей; выполнение правил внутреннего трудового распорядка; отсутствие обоснованных жалоб на работу работника. </w:t>
      </w:r>
    </w:p>
    <w:p w:rsidR="00632FF6" w:rsidRDefault="00452AB0" w:rsidP="00452AB0">
      <w:pPr>
        <w:pStyle w:val="a7"/>
        <w:numPr>
          <w:ilvl w:val="2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Снижение размера премии или его лишение может производиться распоряжением главы администрации за упущения в работе, нарушения трудовой дисциплины, наличие обоснованных жалоб на конкретного работника. Снижение премии или его лишение производится за тот расчетный период, в котором было допущено упущение в работе, нарушение трудовой дисциплины, наличие обоснованной жалобы на конкретного работника, либо непосредственно за обнаружением, но не позднее одного месяца со дня его обнаружения. </w:t>
      </w:r>
    </w:p>
    <w:p w:rsidR="00632FF6" w:rsidRDefault="00632FF6" w:rsidP="00632FF6">
      <w:pPr>
        <w:pStyle w:val="a7"/>
        <w:numPr>
          <w:ilvl w:val="0"/>
          <w:numId w:val="2"/>
        </w:numPr>
        <w:spacing w:after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Выплата заработной платы работникам ВУС</w:t>
      </w:r>
    </w:p>
    <w:p w:rsidR="005861C0" w:rsidRDefault="005861C0" w:rsidP="005861C0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заработная плата работникам, осуществляющим первичный воинский учет на территории МО «Кошехабльское сельское поселение» </w:t>
      </w: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выплачивается за счет средств субвенций бюджетам поселений на осуществление первичного воинского учета на территориях где отсутствуют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военные комиссариаты. </w:t>
      </w:r>
    </w:p>
    <w:p w:rsidR="005861C0" w:rsidRDefault="005861C0" w:rsidP="005861C0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Выплата заработной платы осуществляется в рублях посредствам перечисления на расчетный счет работника. </w:t>
      </w:r>
    </w:p>
    <w:p w:rsidR="005861C0" w:rsidRDefault="005861C0" w:rsidP="005861C0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Выплата заработной платы работникам ВУС МО «Кошехабльское сельское поселение» производится два раза в месяц – 15-го и 30,31 числа каждого месяца.</w:t>
      </w:r>
    </w:p>
    <w:p w:rsidR="00837572" w:rsidRDefault="005861C0" w:rsidP="005861C0">
      <w:pPr>
        <w:pStyle w:val="a7"/>
        <w:numPr>
          <w:ilvl w:val="1"/>
          <w:numId w:val="2"/>
        </w:numPr>
        <w:spacing w:after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Оплата отпускных производится не позднее, чем за три дня </w:t>
      </w: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до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его</w:t>
      </w:r>
      <w:proofErr w:type="gramEnd"/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начало. </w:t>
      </w:r>
    </w:p>
    <w:p w:rsidR="00452AB0" w:rsidRDefault="00837572" w:rsidP="00837572">
      <w:pPr>
        <w:pStyle w:val="a7"/>
        <w:numPr>
          <w:ilvl w:val="0"/>
          <w:numId w:val="2"/>
        </w:numPr>
        <w:spacing w:after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lastRenderedPageBreak/>
        <w:t>Порядок определения годового Фонда оплаты труда работнику, осуществляющему первичный воинский учет на территории МО «Кошехабльское сельское поселение»</w:t>
      </w:r>
    </w:p>
    <w:p w:rsidR="00837572" w:rsidRDefault="000132D3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5.1 Годовой фонд оплаты труда работника, осуществляющего первичный воинский учет на территории МО «Кошехабльское сельское поселение» формируется из расчета: </w:t>
      </w:r>
    </w:p>
    <w:p w:rsidR="000132D3" w:rsidRDefault="000132D3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- должностного оклада по штатному расписанию – 12 должностных окладов;</w:t>
      </w:r>
    </w:p>
    <w:p w:rsidR="000132D3" w:rsidRDefault="000132D3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- надбавка за сложность и напряженность в размере – 12 должностных окладов;</w:t>
      </w:r>
    </w:p>
    <w:p w:rsidR="00FB39A7" w:rsidRDefault="00FB39A7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- пр</w:t>
      </w:r>
      <w:r w:rsidR="000132D3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>емии по результатам работы в размере – 4 должностных окладов.</w:t>
      </w:r>
    </w:p>
    <w:p w:rsidR="00FB39A7" w:rsidRDefault="00FB39A7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C443F3" w:rsidRDefault="00C443F3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bookmarkStart w:id="0" w:name="_GoBack"/>
      <w:r>
        <w:rPr>
          <w:rStyle w:val="a4"/>
          <w:rFonts w:ascii="Times New Roman" w:hAnsi="Times New Roman" w:cs="Times New Roman"/>
          <w:color w:val="auto"/>
          <w:u w:val="none"/>
        </w:rPr>
        <w:t>Приложение к Положению</w:t>
      </w: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«Об условиях оплаты труда и </w:t>
      </w:r>
      <w:proofErr w:type="gramStart"/>
      <w:r>
        <w:rPr>
          <w:rStyle w:val="a4"/>
          <w:rFonts w:ascii="Times New Roman" w:hAnsi="Times New Roman" w:cs="Times New Roman"/>
          <w:color w:val="auto"/>
          <w:u w:val="none"/>
        </w:rPr>
        <w:t>материальном</w:t>
      </w:r>
      <w:proofErr w:type="gramEnd"/>
      <w:r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proofErr w:type="gramStart"/>
      <w:r>
        <w:rPr>
          <w:rStyle w:val="a4"/>
          <w:rFonts w:ascii="Times New Roman" w:hAnsi="Times New Roman" w:cs="Times New Roman"/>
          <w:color w:val="auto"/>
          <w:u w:val="none"/>
        </w:rPr>
        <w:t>стимулировании</w:t>
      </w:r>
      <w:proofErr w:type="gramEnd"/>
      <w:r>
        <w:rPr>
          <w:rStyle w:val="a4"/>
          <w:rFonts w:ascii="Times New Roman" w:hAnsi="Times New Roman" w:cs="Times New Roman"/>
          <w:color w:val="auto"/>
          <w:u w:val="none"/>
        </w:rPr>
        <w:t xml:space="preserve"> работников, осуществляющих </w:t>
      </w: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первичный воинский учет на территории</w:t>
      </w: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>МО «Кошехабльское сельское поселение»</w:t>
      </w:r>
    </w:p>
    <w:bookmarkEnd w:id="0"/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</w:p>
    <w:p w:rsidR="00FB39A7" w:rsidRDefault="00FB39A7" w:rsidP="00FB39A7">
      <w:pPr>
        <w:pStyle w:val="a7"/>
        <w:spacing w:after="0"/>
        <w:ind w:left="0"/>
        <w:jc w:val="right"/>
        <w:rPr>
          <w:rStyle w:val="a4"/>
          <w:rFonts w:ascii="Times New Roman" w:hAnsi="Times New Roman" w:cs="Times New Roman"/>
          <w:color w:val="auto"/>
          <w:u w:val="none"/>
        </w:rPr>
      </w:pPr>
    </w:p>
    <w:p w:rsidR="00FB39A7" w:rsidRPr="00FB39A7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FB39A7" w:rsidRDefault="00FB39A7" w:rsidP="00837572">
      <w:pPr>
        <w:pStyle w:val="a7"/>
        <w:spacing w:after="0"/>
        <w:ind w:left="0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0132D3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РАЗМЕР ДОЛЖНОСТНЫХ ОКЛАДОВ </w:t>
      </w:r>
    </w:p>
    <w:p w:rsidR="00FB39A7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>РАБОТНИКОВ, ОСУЩЕСТВЛЯЮЩИХ ПЕРВИЧНЫЙ ВОИНСКИЙ УЧЕТ НА ТЕРРИТОРИИ МО «КОШЕХАБЛЬСКОЕ СЕЛЬСКОЕ ПОСЕЛЕНИЕ»</w:t>
      </w:r>
    </w:p>
    <w:p w:rsidR="00FB39A7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FB39A7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FB39A7" w:rsidTr="00FB39A7">
        <w:tc>
          <w:tcPr>
            <w:tcW w:w="817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 xml:space="preserve">№ 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/п</w:t>
            </w:r>
          </w:p>
        </w:tc>
        <w:tc>
          <w:tcPr>
            <w:tcW w:w="4111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 xml:space="preserve">Наименование должности </w:t>
            </w:r>
          </w:p>
        </w:tc>
        <w:tc>
          <w:tcPr>
            <w:tcW w:w="4643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Оклад (руб.)</w:t>
            </w:r>
          </w:p>
        </w:tc>
      </w:tr>
      <w:tr w:rsidR="00FB39A7" w:rsidTr="00FB39A7">
        <w:tc>
          <w:tcPr>
            <w:tcW w:w="817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1</w:t>
            </w:r>
          </w:p>
        </w:tc>
        <w:tc>
          <w:tcPr>
            <w:tcW w:w="4111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 xml:space="preserve">Инспектор ВУС </w:t>
            </w:r>
          </w:p>
        </w:tc>
        <w:tc>
          <w:tcPr>
            <w:tcW w:w="4643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4 000</w:t>
            </w:r>
          </w:p>
        </w:tc>
      </w:tr>
      <w:tr w:rsidR="00FB39A7" w:rsidTr="00FB39A7">
        <w:tc>
          <w:tcPr>
            <w:tcW w:w="817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2</w:t>
            </w:r>
          </w:p>
        </w:tc>
        <w:tc>
          <w:tcPr>
            <w:tcW w:w="4111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 xml:space="preserve">Инспектор ВУС </w:t>
            </w:r>
          </w:p>
        </w:tc>
        <w:tc>
          <w:tcPr>
            <w:tcW w:w="4643" w:type="dxa"/>
          </w:tcPr>
          <w:p w:rsidR="00FB39A7" w:rsidRPr="00FB39A7" w:rsidRDefault="00FB39A7" w:rsidP="00FB39A7">
            <w:pPr>
              <w:pStyle w:val="a7"/>
              <w:ind w:left="0"/>
              <w:jc w:val="center"/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7"/>
                <w:szCs w:val="27"/>
                <w:u w:val="none"/>
              </w:rPr>
              <w:t>4 000</w:t>
            </w:r>
          </w:p>
        </w:tc>
      </w:tr>
    </w:tbl>
    <w:p w:rsidR="00FB39A7" w:rsidRPr="00FB39A7" w:rsidRDefault="00FB39A7" w:rsidP="00FB39A7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7"/>
          <w:szCs w:val="27"/>
          <w:u w:val="none"/>
        </w:rPr>
        <w:t xml:space="preserve"> </w:t>
      </w:r>
    </w:p>
    <w:p w:rsidR="00452AB0" w:rsidRDefault="00452AB0" w:rsidP="00837572">
      <w:pPr>
        <w:pStyle w:val="a7"/>
        <w:spacing w:after="0"/>
        <w:ind w:left="0"/>
        <w:jc w:val="center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5F60F2" w:rsidRPr="005F60F2" w:rsidRDefault="002B4D12" w:rsidP="005861C0">
      <w:pPr>
        <w:pStyle w:val="a7"/>
        <w:spacing w:after="0"/>
        <w:ind w:left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2E3038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5506D2"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  </w:t>
      </w:r>
    </w:p>
    <w:p w:rsidR="00F7629F" w:rsidRPr="004650B1" w:rsidRDefault="000313AF" w:rsidP="005506D2">
      <w:pPr>
        <w:pStyle w:val="a7"/>
        <w:spacing w:after="0"/>
        <w:ind w:left="0"/>
        <w:jc w:val="both"/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917719" w:rsidRDefault="00917719" w:rsidP="005506D2">
      <w:pPr>
        <w:jc w:val="both"/>
      </w:pPr>
    </w:p>
    <w:sectPr w:rsidR="0091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2E2"/>
    <w:multiLevelType w:val="multilevel"/>
    <w:tmpl w:val="DD0EF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F681FED"/>
    <w:multiLevelType w:val="hybridMultilevel"/>
    <w:tmpl w:val="D0909FB0"/>
    <w:lvl w:ilvl="0" w:tplc="2ED40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B5184E"/>
    <w:multiLevelType w:val="hybridMultilevel"/>
    <w:tmpl w:val="1C4C1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E7C00"/>
    <w:multiLevelType w:val="hybridMultilevel"/>
    <w:tmpl w:val="07080F8E"/>
    <w:lvl w:ilvl="0" w:tplc="80908D2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61"/>
    <w:rsid w:val="000132D3"/>
    <w:rsid w:val="000313AF"/>
    <w:rsid w:val="00047449"/>
    <w:rsid w:val="000F5232"/>
    <w:rsid w:val="0017723C"/>
    <w:rsid w:val="002B3E6A"/>
    <w:rsid w:val="002B4D12"/>
    <w:rsid w:val="002E3038"/>
    <w:rsid w:val="00373986"/>
    <w:rsid w:val="00452AB0"/>
    <w:rsid w:val="004650B1"/>
    <w:rsid w:val="004B2E1C"/>
    <w:rsid w:val="004D75E2"/>
    <w:rsid w:val="005506D2"/>
    <w:rsid w:val="005861C0"/>
    <w:rsid w:val="005F4732"/>
    <w:rsid w:val="005F60F2"/>
    <w:rsid w:val="0062047B"/>
    <w:rsid w:val="00632FF6"/>
    <w:rsid w:val="00634FD7"/>
    <w:rsid w:val="00744664"/>
    <w:rsid w:val="00837572"/>
    <w:rsid w:val="00917719"/>
    <w:rsid w:val="009F7110"/>
    <w:rsid w:val="00C443F3"/>
    <w:rsid w:val="00E36861"/>
    <w:rsid w:val="00F7629F"/>
    <w:rsid w:val="00FB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F4732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5F47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73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3E6A"/>
    <w:pPr>
      <w:ind w:left="720"/>
      <w:contextualSpacing/>
    </w:pPr>
  </w:style>
  <w:style w:type="table" w:styleId="a8">
    <w:name w:val="Table Grid"/>
    <w:basedOn w:val="a1"/>
    <w:uiPriority w:val="59"/>
    <w:rsid w:val="00FB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F4732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4">
    <w:name w:val="Hyperlink"/>
    <w:basedOn w:val="a0"/>
    <w:uiPriority w:val="99"/>
    <w:semiHidden/>
    <w:unhideWhenUsed/>
    <w:rsid w:val="005F47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73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3E6A"/>
    <w:pPr>
      <w:ind w:left="720"/>
      <w:contextualSpacing/>
    </w:pPr>
  </w:style>
  <w:style w:type="table" w:styleId="a8">
    <w:name w:val="Table Grid"/>
    <w:basedOn w:val="a1"/>
    <w:uiPriority w:val="59"/>
    <w:rsid w:val="00FB3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garantF1://3224454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224454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2244548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32244548.0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garantf1://32244548.0/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8FB8-E12D-4E4F-938B-8AAAD6E3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21</cp:revision>
  <dcterms:created xsi:type="dcterms:W3CDTF">2014-03-31T10:43:00Z</dcterms:created>
  <dcterms:modified xsi:type="dcterms:W3CDTF">2015-01-30T12:55:00Z</dcterms:modified>
</cp:coreProperties>
</file>